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6,3 pkt. na 10 możliwych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Tyle wynosi poziom szczęścia polskich pracowników według raportu Natalii Bogdan z Jobhouse.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prezentacji raportu dziennikarze otrzymali naszą publikację podnoszącą poziom szczęścia. </w:t>
      </w:r>
    </w:p>
    <w:p>
      <w:r>
        <w:rPr>
          <w:rFonts w:ascii="calibri" w:hAnsi="calibri" w:eastAsia="calibri" w:cs="calibri"/>
          <w:sz w:val="24"/>
          <w:szCs w:val="24"/>
        </w:rPr>
        <w:t xml:space="preserve">Ciekawe, jaki byłby wynik, gdyby pracownicy dostali od pracodawców FISZKI Piotra Buckiego "Jak znaleźć szczęście"? </w:t>
      </w:r>
    </w:p>
    <w:p>
      <w:r>
        <w:rPr>
          <w:rFonts w:ascii="calibri" w:hAnsi="calibri" w:eastAsia="calibri" w:cs="calibri"/>
          <w:sz w:val="24"/>
          <w:szCs w:val="24"/>
        </w:rPr>
        <w:t xml:space="preserve">Zestaw zawiera 38 kart szkoleniowych, które w naukowy sposób opisują teorię dobrostanu i prezentują ćwiczenia, które ten dobrostan poprawiają. Okazuje się bowiem, że nasze szczęście zależy w 50 procentach od genów. Tylko w 10 procentach od czynników zewnętrznych typu zdrowie, praca, przyjemności i aż w 40 procentach od sposobu naszego funkcjonowania w świecie. Czyli od tego, jak działamy. I o tym właśnie są FISZKI - jak działać, żeby być szczęśliwym.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link do fiszek o szczęściu</w:t>
        </w:r>
      </w:hyperlink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link do raportu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fiszki.pl/kompetencje-xxi-w-/produkt,jak-znalezc-szczescie,71611676,1.html" TargetMode="External"/><Relationship Id="rId8" Type="http://schemas.openxmlformats.org/officeDocument/2006/relationships/hyperlink" Target="http://www.jobhouse.pl/szczescie-w-pracy-polakow-wyniki-raportu,285,pl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2025-11-05T10:21:15+01:00</dcterms:created>
  <dcterms:modified xsi:type="dcterms:W3CDTF">2025-11-05T10:21:15+01:00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